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62A0" w14:textId="77777777" w:rsidR="005153B7" w:rsidRPr="00347D40" w:rsidRDefault="005153B7" w:rsidP="005153B7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4C4586B0" w14:textId="77777777" w:rsidR="00F13AC8" w:rsidRDefault="00F13AC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24CE6F4" w14:textId="77777777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7B44F062" w14:textId="7EC2880F" w:rsidR="005153B7" w:rsidRPr="00347D40" w:rsidRDefault="004E0A85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E0A85">
        <w:rPr>
          <w:rFonts w:ascii="GHEA Grapalat" w:hAnsi="GHEA Grapalat" w:cs="Sylfaen"/>
          <w:sz w:val="20"/>
          <w:szCs w:val="20"/>
          <w:lang w:val="hy-AM"/>
        </w:rPr>
        <w:t>Վայք</w:t>
      </w:r>
      <w:r w:rsidR="00B979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66EFDA26" w:rsidR="005153B7" w:rsidRPr="00347D40" w:rsidRDefault="004E0A85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«21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szCs w:val="20"/>
          <w:lang w:val="en-US"/>
        </w:rPr>
        <w:t xml:space="preserve"> նոյեմբերի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2023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4F7EC868" w14:textId="7D5394AA" w:rsidR="005153B7" w:rsidRPr="00347D40" w:rsidRDefault="004E0A85" w:rsidP="001B6353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 84</w:t>
      </w:r>
      <w:bookmarkStart w:id="0" w:name="_GoBack"/>
      <w:bookmarkEnd w:id="0"/>
      <w:r w:rsidR="00F13AC8">
        <w:rPr>
          <w:rFonts w:ascii="GHEA Grapalat" w:hAnsi="GHEA Grapalat" w:cs="Sylfaen"/>
          <w:sz w:val="20"/>
          <w:szCs w:val="20"/>
          <w:lang w:val="hy-AM"/>
        </w:rPr>
        <w:t>-</w:t>
      </w:r>
      <w:r w:rsidR="004230BB">
        <w:rPr>
          <w:rFonts w:ascii="GHEA Grapalat" w:hAnsi="GHEA Grapalat" w:cs="Sylfaen"/>
          <w:sz w:val="20"/>
          <w:szCs w:val="20"/>
          <w:lang w:val="hy-AM"/>
        </w:rPr>
        <w:t>Լ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1B6353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1E0C22C2" w:rsidR="005153B7" w:rsidRPr="00347D40" w:rsidRDefault="004E0A85" w:rsidP="001B6353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4E0A85">
        <w:rPr>
          <w:rFonts w:ascii="GHEA Grapalat" w:hAnsi="GHEA Grapalat"/>
          <w:b/>
          <w:lang w:val="hy-AM"/>
        </w:rPr>
        <w:t>ՎԱՅՔ</w:t>
      </w:r>
      <w:r w:rsidR="00B97905"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1B6353">
      <w:pPr>
        <w:jc w:val="center"/>
        <w:rPr>
          <w:rStyle w:val="Strong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Strong"/>
          <w:rFonts w:ascii="GHEA Grapalat" w:hAnsi="GHEA Grapalat"/>
          <w:lang w:val="hy-AM"/>
        </w:rPr>
        <w:t>ԸՆԴՀԱՆՈՒՐ ԴՐՈՒՅԹՆԵՐ</w:t>
      </w:r>
    </w:p>
    <w:p w14:paraId="169ED48F" w14:textId="48967C19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>1. Սու</w:t>
      </w:r>
      <w:r w:rsidR="004E0A85">
        <w:rPr>
          <w:rFonts w:ascii="GHEA Grapalat" w:hAnsi="GHEA Grapalat"/>
          <w:sz w:val="24"/>
          <w:szCs w:val="24"/>
          <w:lang w:val="nl-NL"/>
        </w:rPr>
        <w:t>յն չափորոշիչներով սահմանվում են Վայք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77B1FFA0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678ADE35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64225F76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148304E8" w:rsid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A529F9A" w:rsid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7194C0C8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3E9B944A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03671FA" w14:textId="2AA14162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B30BB37" w14:textId="0408FF75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10EB8526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2180D250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784401FD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302FEBF9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4737F44F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ED65C1" w:rsidRDefault="00ED65C1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77777777" w:rsidR="00ED65C1" w:rsidRPr="00ED65C1" w:rsidRDefault="00260E9A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D92ABEF" w14:textId="0EB4A635" w:rsidR="005153B7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lastRenderedPageBreak/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Default="00ED65C1" w:rsidP="00ED65C1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Strong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Default="005153B7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ED65C1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ED65C1" w:rsidRDefault="00ED65C1" w:rsidP="00ED65C1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BBEE214" w:rsidR="00ED65C1" w:rsidRPr="00801AFA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77777777" w:rsid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3B98A99C" w:rsidR="00801AFA" w:rsidRPr="00801AFA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lastRenderedPageBreak/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Default="00ED65C1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77777777" w:rsidR="00ED65C1" w:rsidRDefault="00ED65C1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1470F9" w:rsidRDefault="00ED65C1" w:rsidP="001470F9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1470F9">
      <w:pPr>
        <w:pStyle w:val="ListParagraph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1470F9">
      <w:pPr>
        <w:pStyle w:val="ListParagraph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5FE53664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7589E4B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183B169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E0D9E1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A735D0C" w14:textId="4EF32FA3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6C574B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5B5AC165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20591ED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14:paraId="16006E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299FDDA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1CF2DFA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06A1086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F975A6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2C745792" w14:textId="54B7707C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0650455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99E14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5F64ADB2" w14:textId="3BDE7AF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3468742F" w14:textId="531A558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263E05D8" w14:textId="2B2EA12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0985462A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08AD0CB2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77777777" w:rsidR="005153B7" w:rsidRPr="00595BC1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4926BB0E" w:rsidR="00595BC1" w:rsidRPr="00595BC1" w:rsidRDefault="00595BC1" w:rsidP="00595BC1">
      <w:pPr>
        <w:spacing w:line="360" w:lineRule="auto"/>
        <w:ind w:left="708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lastRenderedPageBreak/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FB242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1B5FFE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4"/>
        <w:gridCol w:w="2534"/>
        <w:gridCol w:w="3995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95BC1" w:rsidRPr="004E0A85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</w:p>
    <w:p w14:paraId="2DCCCB8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</w:p>
    <w:p w14:paraId="2F7FB5F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8FA3A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595BC1" w:rsidRDefault="00595BC1" w:rsidP="00595B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595BC1" w:rsidRDefault="00595BC1" w:rsidP="00595B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45BAF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083CD85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595BC1" w:rsidRDefault="00595BC1" w:rsidP="00435E07">
            <w:pPr>
              <w:pStyle w:val="CommentText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12D65565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2F2317E" w14:textId="77777777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0619009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14:paraId="54EA3CBC" w14:textId="77777777" w:rsidR="0009776F" w:rsidRDefault="005153B7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DA2DBA">
        <w:rPr>
          <w:rFonts w:ascii="GHEA Grapalat" w:hAnsi="GHEA Grapalat"/>
          <w:b/>
          <w:sz w:val="24"/>
          <w:lang w:val="hy-AM"/>
        </w:rPr>
        <w:t>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ՀԱՄԱՅՆՔԻ ԱՎԱԳԱՆՈՒ </w:t>
      </w:r>
      <w:r w:rsidR="005A23C7">
        <w:rPr>
          <w:rFonts w:ascii="GHEA Grapalat" w:hAnsi="GHEA Grapalat"/>
          <w:b/>
          <w:sz w:val="24"/>
          <w:lang w:val="hy-AM"/>
        </w:rPr>
        <w:t>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ԹՎԱԿԱՆԻ </w:t>
      </w:r>
      <w:r w:rsidR="0007301B">
        <w:rPr>
          <w:rFonts w:ascii="GHEA Grapalat" w:hAnsi="GHEA Grapalat"/>
          <w:b/>
          <w:sz w:val="24"/>
          <w:lang w:val="hy-AM"/>
        </w:rPr>
        <w:t>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</w:t>
      </w:r>
      <w:r w:rsidR="007E47D0">
        <w:rPr>
          <w:rFonts w:ascii="GHEA Grapalat" w:hAnsi="GHEA Grapalat"/>
          <w:b/>
          <w:sz w:val="24"/>
          <w:lang w:val="hy-AM"/>
        </w:rPr>
        <w:t>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-ի  N </w:t>
      </w:r>
      <w:r w:rsidR="00257020">
        <w:rPr>
          <w:rFonts w:ascii="GHEA Grapalat" w:hAnsi="GHEA Grapalat"/>
          <w:b/>
          <w:sz w:val="24"/>
          <w:lang w:val="hy-AM"/>
        </w:rPr>
        <w:t>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-Ն ՈՐՈՇՈՒՄԸ ՈՒԺԸ ԿՈՐՑՐԱԾ ՉԱՆԱՉԵԼՈՒ ԵՎ </w:t>
      </w:r>
      <w:r w:rsidR="008836E0">
        <w:rPr>
          <w:rFonts w:ascii="GHEA Grapalat" w:hAnsi="GHEA Grapalat"/>
          <w:b/>
          <w:sz w:val="24"/>
          <w:lang w:val="hy-AM"/>
        </w:rPr>
        <w:t>—————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ՀԱՄԱՅՆՔՈՒՄ ՍՈՑԻԱԼԱԿԱՆ ԱՋԱԿՑՈՒԹՅԱՆ ԾԱՌԱՅՈՒԹՅՈՒՆՆԵՐԻ ՏՐԱՄԱԴՐՄԱՆ ՉԱՓՈՐՈՇԻՉՆԵՐԸ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14:paraId="39DF53E8" w14:textId="6B13D611" w:rsidR="005153B7" w:rsidRPr="00347D40" w:rsidRDefault="0009776F" w:rsidP="006549B4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>—————</w:t>
      </w:r>
      <w:r w:rsidR="006549B4">
        <w:rPr>
          <w:rFonts w:ascii="GHEA Grapalat" w:hAnsi="GHEA Grapalat"/>
          <w:b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ԱՆՀՐԱԺԵՇՏՈՒԹՅԱՆ                                                       ՎԵՐԱԲԵՐՅԱԼ</w:t>
      </w:r>
    </w:p>
    <w:p w14:paraId="47A2AC52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46B9A120" w14:textId="6620F6CD" w:rsidR="005153B7" w:rsidRPr="00347D40" w:rsidRDefault="003E2363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————</w:t>
      </w:r>
      <w:r w:rsidR="006549B4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 xml:space="preserve">Նախագծով առաջարկվում է ուժը կորցրած ճանաչել </w:t>
      </w:r>
      <w:r w:rsidR="00BB1CCA">
        <w:rPr>
          <w:rFonts w:ascii="GHEA Grapalat" w:hAnsi="GHEA Grapalat"/>
          <w:sz w:val="24"/>
          <w:lang w:val="hy-AM"/>
        </w:rPr>
        <w:t>————</w:t>
      </w:r>
      <w:r w:rsidR="006549B4" w:rsidRPr="006549B4">
        <w:rPr>
          <w:rFonts w:ascii="GHEA Grapalat" w:hAnsi="GHEA Grapalat"/>
          <w:sz w:val="24"/>
          <w:lang w:val="hy-AM"/>
        </w:rPr>
        <w:t xml:space="preserve"> 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 w:rsidR="00A903D1">
        <w:rPr>
          <w:rFonts w:ascii="GHEA Grapalat" w:hAnsi="GHEA Grapalat"/>
          <w:sz w:val="24"/>
          <w:lang w:val="hy-AM"/>
        </w:rPr>
        <w:t>———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մարտի </w:t>
      </w:r>
      <w:r w:rsidR="0062262A">
        <w:rPr>
          <w:rFonts w:ascii="GHEA Grapalat" w:hAnsi="GHEA Grapalat"/>
          <w:sz w:val="24"/>
          <w:lang w:val="hy-AM"/>
        </w:rPr>
        <w:t>——</w:t>
      </w:r>
      <w:r w:rsidR="006549B4" w:rsidRPr="006549B4">
        <w:rPr>
          <w:rFonts w:ascii="GHEA Grapalat" w:hAnsi="GHEA Grapalat"/>
          <w:sz w:val="24"/>
          <w:lang w:val="hy-AM"/>
        </w:rPr>
        <w:t xml:space="preserve">-ի N </w:t>
      </w:r>
      <w:r w:rsidR="00591B1A">
        <w:rPr>
          <w:rFonts w:ascii="GHEA Grapalat" w:hAnsi="GHEA Grapalat"/>
          <w:sz w:val="24"/>
          <w:lang w:val="hy-AM"/>
        </w:rPr>
        <w:t>———</w:t>
      </w:r>
      <w:r w:rsidR="006549B4" w:rsidRPr="006549B4">
        <w:rPr>
          <w:rFonts w:ascii="GHEA Grapalat" w:hAnsi="GHEA Grapalat"/>
          <w:sz w:val="24"/>
          <w:lang w:val="hy-AM"/>
        </w:rPr>
        <w:t>-Ն</w:t>
      </w:r>
      <w:r w:rsidR="006549B4">
        <w:rPr>
          <w:rFonts w:ascii="GHEA Grapalat" w:hAnsi="GHEA Grapalat"/>
          <w:sz w:val="24"/>
          <w:lang w:val="hy-AM"/>
        </w:rPr>
        <w:t xml:space="preserve"> 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 w:rsidR="00CF1A3D">
        <w:rPr>
          <w:rFonts w:ascii="GHEA Grapalat" w:hAnsi="GHEA Grapalat"/>
          <w:sz w:val="24"/>
          <w:lang w:val="hy-AM"/>
        </w:rPr>
        <w:t>————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14:paraId="6E4A3B84" w14:textId="1AAFFB60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 w:rsidR="006549B4">
        <w:rPr>
          <w:rFonts w:ascii="GHEA Grapalat" w:hAnsi="GHEA Grapalat"/>
          <w:sz w:val="24"/>
          <w:lang w:val="hy-AM"/>
        </w:rPr>
        <w:lastRenderedPageBreak/>
        <w:t xml:space="preserve">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14:paraId="493FC86A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14:paraId="781CFC71" w14:textId="77777777"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14:paraId="64D8AB23" w14:textId="5339116B"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14:paraId="68119954" w14:textId="1EE7BB0F"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14:paraId="33FC2003" w14:textId="77777777" w:rsidR="003024B2" w:rsidRPr="004E0A85" w:rsidRDefault="003024B2">
      <w:pPr>
        <w:rPr>
          <w:rFonts w:ascii="Sylfaen" w:hAnsi="Sylfaen"/>
          <w:lang w:val="hy-AM"/>
        </w:rPr>
      </w:pPr>
    </w:p>
    <w:sectPr w:rsidR="003024B2" w:rsidRPr="004E0A85" w:rsidSect="004E0A85">
      <w:footerReference w:type="default" r:id="rId7"/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40A15" w14:textId="77777777" w:rsidR="00502349" w:rsidRDefault="00502349">
      <w:pPr>
        <w:spacing w:after="0" w:line="240" w:lineRule="auto"/>
      </w:pPr>
      <w:r>
        <w:separator/>
      </w:r>
    </w:p>
  </w:endnote>
  <w:endnote w:type="continuationSeparator" w:id="0">
    <w:p w14:paraId="01CCA77F" w14:textId="77777777" w:rsidR="00502349" w:rsidRDefault="0050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A1BEC" w14:textId="77777777" w:rsidR="00140FAA" w:rsidRDefault="00140FAA">
    <w:pPr>
      <w:pStyle w:val="Footer"/>
      <w:jc w:val="right"/>
    </w:pPr>
  </w:p>
  <w:p w14:paraId="5FDE08E5" w14:textId="77777777" w:rsidR="00140FAA" w:rsidRDefault="00140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E1BC1" w14:textId="77777777" w:rsidR="00502349" w:rsidRDefault="00502349">
      <w:pPr>
        <w:spacing w:after="0" w:line="240" w:lineRule="auto"/>
      </w:pPr>
      <w:r>
        <w:separator/>
      </w:r>
    </w:p>
  </w:footnote>
  <w:footnote w:type="continuationSeparator" w:id="0">
    <w:p w14:paraId="1EA4CE43" w14:textId="77777777" w:rsidR="00502349" w:rsidRDefault="0050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37BD0"/>
    <w:rsid w:val="00140FAA"/>
    <w:rsid w:val="001470F9"/>
    <w:rsid w:val="001A2857"/>
    <w:rsid w:val="001B2F64"/>
    <w:rsid w:val="001B5FFE"/>
    <w:rsid w:val="001B6353"/>
    <w:rsid w:val="00237818"/>
    <w:rsid w:val="00257020"/>
    <w:rsid w:val="00260E9A"/>
    <w:rsid w:val="002E11CD"/>
    <w:rsid w:val="002F4F7E"/>
    <w:rsid w:val="002F7B4A"/>
    <w:rsid w:val="003024B2"/>
    <w:rsid w:val="003E2363"/>
    <w:rsid w:val="004230BB"/>
    <w:rsid w:val="00493D5B"/>
    <w:rsid w:val="004E0A85"/>
    <w:rsid w:val="00502349"/>
    <w:rsid w:val="005153B7"/>
    <w:rsid w:val="0056391C"/>
    <w:rsid w:val="00591B1A"/>
    <w:rsid w:val="00595BC1"/>
    <w:rsid w:val="005A23C7"/>
    <w:rsid w:val="0062262A"/>
    <w:rsid w:val="006549B4"/>
    <w:rsid w:val="007C53F9"/>
    <w:rsid w:val="007E47D0"/>
    <w:rsid w:val="00801AFA"/>
    <w:rsid w:val="00830829"/>
    <w:rsid w:val="008418D5"/>
    <w:rsid w:val="00853078"/>
    <w:rsid w:val="00854A00"/>
    <w:rsid w:val="008836E0"/>
    <w:rsid w:val="009838A3"/>
    <w:rsid w:val="009D0A52"/>
    <w:rsid w:val="009F6EA0"/>
    <w:rsid w:val="00A02B22"/>
    <w:rsid w:val="00A903D1"/>
    <w:rsid w:val="00AB6D45"/>
    <w:rsid w:val="00B97905"/>
    <w:rsid w:val="00BB1CCA"/>
    <w:rsid w:val="00BB4964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D65C1"/>
    <w:rsid w:val="00EE791D"/>
    <w:rsid w:val="00F13AC8"/>
    <w:rsid w:val="00F313D0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chartTrackingRefBased/>
  <w15:docId w15:val="{1251EEEF-581B-4F6C-8C02-75C7C0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ListParagraph">
    <w:name w:val="List Paragraph"/>
    <w:basedOn w:val="Normal"/>
    <w:uiPriority w:val="34"/>
    <w:qFormat/>
    <w:rsid w:val="005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Footer">
    <w:name w:val="footer"/>
    <w:basedOn w:val="Normal"/>
    <w:link w:val="FooterChar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NormalWeb">
    <w:name w:val="Normal (Web)"/>
    <w:basedOn w:val="Normal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5153B7"/>
    <w:rPr>
      <w:b/>
      <w:bCs/>
    </w:rPr>
  </w:style>
  <w:style w:type="table" w:styleId="TableGrid">
    <w:name w:val="Table Grid"/>
    <w:basedOn w:val="TableNormal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5153B7"/>
  </w:style>
  <w:style w:type="character" w:styleId="CommentReference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https://mul2-vdzor.gov.am/tasks/261415/oneclick/62969fa34582cea7b8192b86ed516200954f6f63e775d1ae426a07d12d524c35.docx?token=aeb8b1bdb6383cd584c64b3cf3362994</cp:keywords>
  <dc:description/>
  <cp:lastModifiedBy>work</cp:lastModifiedBy>
  <cp:revision>249</cp:revision>
  <dcterms:created xsi:type="dcterms:W3CDTF">2023-10-12T13:37:00Z</dcterms:created>
  <dcterms:modified xsi:type="dcterms:W3CDTF">2023-11-29T13:45:00Z</dcterms:modified>
</cp:coreProperties>
</file>